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附件5</w:t>
      </w:r>
    </w:p>
    <w:p>
      <w:pPr>
        <w:shd w:val="clear" w:color="auto" w:fill="FFFFFF"/>
        <w:adjustRightInd w:val="0"/>
        <w:snapToGrid w:val="0"/>
        <w:spacing w:line="580" w:lineRule="exact"/>
        <w:jc w:val="center"/>
        <w:outlineLvl w:val="1"/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</w:pPr>
      <w:r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  <w:t>浙江省高校场馆育人作用开发项目</w:t>
      </w:r>
    </w:p>
    <w:p>
      <w:pPr>
        <w:shd w:val="clear" w:color="auto" w:fill="FFFFFF"/>
        <w:adjustRightInd w:val="0"/>
        <w:snapToGrid w:val="0"/>
        <w:spacing w:line="580" w:lineRule="exact"/>
        <w:jc w:val="center"/>
        <w:outlineLvl w:val="1"/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</w:pPr>
      <w:r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  <w:t>申报说明</w:t>
      </w:r>
    </w:p>
    <w:p>
      <w:pPr>
        <w:shd w:val="clear" w:color="auto" w:fill="FFFFFF"/>
        <w:adjustRightInd w:val="0"/>
        <w:snapToGrid w:val="0"/>
        <w:spacing w:line="580" w:lineRule="exact"/>
        <w:jc w:val="center"/>
        <w:outlineLvl w:val="1"/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建设目标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进一步发挥大学文化场馆的功能和作用，深入挖掘场馆的育人元素，不断提高大学文化育人实效。在满足学生成长成才过程中、文化艺术需求的同时，使其参与度、满意度都达到较高的水平，真正提升文化育人实效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56" w:firstLineChars="200"/>
        <w:jc w:val="both"/>
        <w:textAlignment w:val="auto"/>
        <w:outlineLvl w:val="1"/>
        <w:rPr>
          <w:rFonts w:ascii="Times New Roman" w:hAnsi="Times New Roman" w:eastAsia="黑体"/>
          <w:bCs/>
          <w:spacing w:val="4"/>
          <w:kern w:val="36"/>
          <w:sz w:val="32"/>
          <w:szCs w:val="32"/>
        </w:rPr>
      </w:pPr>
      <w:r>
        <w:rPr>
          <w:rFonts w:ascii="Times New Roman" w:hAnsi="Times New Roman" w:eastAsia="黑体"/>
          <w:bCs/>
          <w:spacing w:val="4"/>
          <w:kern w:val="36"/>
          <w:sz w:val="32"/>
          <w:szCs w:val="32"/>
        </w:rPr>
        <w:t>二、建设内容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深入挖掘校史馆、展览馆、博物馆、图书馆等高校场馆育人元素，进一步挖掘高校校史校情中特有的光荣传统、优秀事迹和先进文化内涵，把场馆育人融入思想政治工作全过程，组织开展“场馆育人”系列活动、建设“场馆育人”专业队伍、开发“场馆育人”衍生课程、加强“场馆育人”传播交流、推广“场馆育人”工作成效，推动场馆成为春风化雨、润物无声的学生“沉浸式”学习平台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56" w:firstLineChars="200"/>
        <w:jc w:val="both"/>
        <w:textAlignment w:val="auto"/>
        <w:outlineLvl w:val="1"/>
        <w:rPr>
          <w:rFonts w:ascii="Times New Roman" w:hAnsi="Times New Roman" w:eastAsia="黑体"/>
          <w:bCs/>
          <w:spacing w:val="4"/>
          <w:kern w:val="36"/>
          <w:sz w:val="32"/>
          <w:szCs w:val="32"/>
        </w:rPr>
      </w:pPr>
      <w:r>
        <w:rPr>
          <w:rFonts w:ascii="Times New Roman" w:hAnsi="Times New Roman" w:eastAsia="黑体"/>
          <w:bCs/>
          <w:spacing w:val="4"/>
          <w:kern w:val="36"/>
          <w:sz w:val="32"/>
          <w:szCs w:val="32"/>
        </w:rPr>
        <w:t>三、其他事项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1.按照“公开公正、示范引领、彰显特色”原则，省教育厅组织专家对推荐场馆进行资格审查和遴选评审，择优选出一批场馆，在省高校网络思政中心网站“浙里有约”展示的场馆可优先推荐。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2.各校推荐场馆应为学校教育教学活动、文化建设、品牌宣传的重要场所，具有一定的影响力和品牌度。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2024年度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（A表）</w:t>
      </w:r>
    </w:p>
    <w:p>
      <w:pPr>
        <w:spacing w:line="660" w:lineRule="exact"/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spacing w:line="660" w:lineRule="exact"/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tabs>
          <w:tab w:val="right" w:pos="7506"/>
        </w:tabs>
        <w:spacing w:after="156" w:line="600" w:lineRule="exact"/>
        <w:ind w:firstLine="800" w:firstLineChars="250"/>
        <w:jc w:val="left"/>
        <w:rPr>
          <w:rFonts w:ascii="Times New Roman" w:hAnsi="Times New Roman" w:eastAsia="楷体"/>
          <w:kern w:val="32"/>
          <w:sz w:val="32"/>
          <w:szCs w:val="32"/>
          <w:u w:val="single"/>
        </w:rPr>
      </w:pPr>
      <w:r>
        <w:rPr>
          <w:rFonts w:ascii="Times New Roman" w:hAnsi="Times New Roman" w:eastAsia="楷体"/>
          <w:kern w:val="32"/>
          <w:sz w:val="32"/>
          <w:szCs w:val="32"/>
        </w:rPr>
        <w:t>类    别</w:t>
      </w:r>
      <w:r>
        <w:rPr>
          <w:rFonts w:ascii="Times New Roman" w:hAnsi="Times New Roman" w:eastAsia="楷体"/>
          <w:kern w:val="32"/>
          <w:sz w:val="32"/>
          <w:szCs w:val="32"/>
          <w:u w:val="single"/>
        </w:rPr>
        <w:t xml:space="preserve">      高校场馆育人作用开发       </w:t>
      </w:r>
    </w:p>
    <w:p>
      <w:pPr>
        <w:spacing w:after="156" w:line="600" w:lineRule="exact"/>
        <w:jc w:val="left"/>
        <w:rPr>
          <w:rFonts w:ascii="Times New Roman" w:hAnsi="Times New Roman" w:eastAsia="楷体"/>
          <w:kern w:val="32"/>
          <w:sz w:val="32"/>
          <w:szCs w:val="32"/>
          <w:u w:val="single"/>
        </w:rPr>
      </w:pPr>
      <w:r>
        <w:rPr>
          <w:rFonts w:ascii="Times New Roman" w:hAnsi="Times New Roman" w:eastAsia="楷体"/>
          <w:kern w:val="32"/>
          <w:sz w:val="32"/>
          <w:szCs w:val="32"/>
        </w:rPr>
        <w:t xml:space="preserve">     学    校</w:t>
      </w:r>
      <w:r>
        <w:rPr>
          <w:rFonts w:ascii="Times New Roman" w:hAnsi="Times New Roman" w:eastAsia="楷体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 w:line="600" w:lineRule="exact"/>
        <w:jc w:val="left"/>
        <w:rPr>
          <w:rFonts w:ascii="Times New Roman" w:hAnsi="Times New Roman" w:eastAsia="楷体"/>
          <w:kern w:val="32"/>
          <w:sz w:val="32"/>
          <w:szCs w:val="32"/>
          <w:u w:val="single"/>
        </w:rPr>
      </w:pPr>
      <w:r>
        <w:rPr>
          <w:rFonts w:ascii="Times New Roman" w:hAnsi="Times New Roman" w:eastAsia="楷体"/>
          <w:kern w:val="32"/>
          <w:sz w:val="32"/>
          <w:szCs w:val="32"/>
        </w:rPr>
        <w:t xml:space="preserve">     名    称</w:t>
      </w:r>
      <w:r>
        <w:rPr>
          <w:rFonts w:ascii="Times New Roman" w:hAnsi="Times New Roman" w:eastAsia="楷体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/>
        <w:rPr>
          <w:rFonts w:ascii="Times New Roman" w:hAnsi="Times New Roman" w:eastAsia="楷体"/>
          <w:kern w:val="32"/>
          <w:sz w:val="32"/>
          <w:szCs w:val="32"/>
          <w:u w:val="single"/>
        </w:rPr>
      </w:pPr>
      <w:r>
        <w:rPr>
          <w:rFonts w:ascii="Times New Roman" w:hAnsi="Times New Roman" w:eastAsia="楷体"/>
          <w:kern w:val="32"/>
          <w:sz w:val="32"/>
          <w:szCs w:val="32"/>
        </w:rPr>
        <w:t xml:space="preserve">     填报日期</w:t>
      </w:r>
      <w:r>
        <w:rPr>
          <w:rFonts w:ascii="Times New Roman" w:hAnsi="Times New Roman" w:eastAsia="楷体"/>
          <w:kern w:val="32"/>
          <w:sz w:val="32"/>
          <w:szCs w:val="32"/>
          <w:u w:val="single"/>
        </w:rPr>
        <w:t xml:space="preserve">      　 年    月    日          </w:t>
      </w:r>
    </w:p>
    <w:p>
      <w:pPr>
        <w:spacing w:line="600" w:lineRule="exact"/>
        <w:rPr>
          <w:rFonts w:ascii="Times New Roman" w:hAnsi="Times New Roman" w:eastAsia="楷体"/>
          <w:kern w:val="32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楷体"/>
          <w:kern w:val="32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楷体"/>
          <w:kern w:val="32"/>
          <w:sz w:val="32"/>
          <w:szCs w:val="32"/>
        </w:rPr>
      </w:pPr>
    </w:p>
    <w:p>
      <w:pPr>
        <w:jc w:val="center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浙江省教育厅制</w:t>
      </w:r>
    </w:p>
    <w:p>
      <w:pPr>
        <w:spacing w:line="480" w:lineRule="auto"/>
        <w:jc w:val="center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2023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>9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月</w:t>
      </w:r>
    </w:p>
    <w:p>
      <w:pPr>
        <w:spacing w:line="480" w:lineRule="auto"/>
        <w:rPr>
          <w:rFonts w:ascii="Times New Roman" w:hAnsi="Times New Roman" w:eastAsia="楷体_GB2312"/>
          <w:color w:val="000000"/>
          <w:sz w:val="36"/>
          <w:szCs w:val="36"/>
        </w:rPr>
      </w:pPr>
    </w:p>
    <w:p>
      <w:pPr>
        <w:spacing w:line="480" w:lineRule="auto"/>
        <w:jc w:val="center"/>
        <w:rPr>
          <w:rFonts w:ascii="Times New Roman" w:hAnsi="Times New Roman" w:eastAsia="楷体_GB2312"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ascii="黑体" w:hAnsi="黑体" w:eastAsia="黑体"/>
          <w:bCs/>
          <w:kern w:val="0"/>
          <w:sz w:val="32"/>
          <w:szCs w:val="32"/>
        </w:rPr>
        <w:t>填 表 说 明</w:t>
      </w:r>
    </w:p>
    <w:p>
      <w:pPr>
        <w:spacing w:line="360" w:lineRule="auto"/>
        <w:jc w:val="center"/>
        <w:rPr>
          <w:rFonts w:ascii="Times New Roman" w:hAnsi="Times New Roman"/>
          <w:kern w:val="32"/>
          <w:sz w:val="32"/>
          <w:szCs w:val="32"/>
        </w:rPr>
      </w:pP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三、《申报书》采用A4规格页面，左侧装订。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四、所填写内容可附页。如有支撑材料，请按表格的顺序装订好作为附件附后。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五、凡递交的《申报书》及支撑材料概不退还。</w:t>
      </w:r>
    </w:p>
    <w:p>
      <w:pPr>
        <w:spacing w:before="312" w:beforeLines="100" w:line="360" w:lineRule="auto"/>
        <w:rPr>
          <w:rFonts w:ascii="Times New Roman" w:hAnsi="Times New Roman" w:eastAsia="仿宋_GB2312"/>
          <w:b/>
          <w:kern w:val="0"/>
          <w:sz w:val="28"/>
          <w:szCs w:val="28"/>
        </w:rPr>
      </w:pPr>
    </w:p>
    <w:p>
      <w:pPr>
        <w:spacing w:before="312" w:beforeLines="100" w:line="360" w:lineRule="auto"/>
        <w:rPr>
          <w:rFonts w:ascii="Times New Roman" w:hAnsi="Times New Roman" w:eastAsia="仿宋_GB2312"/>
          <w:b/>
          <w:kern w:val="0"/>
          <w:sz w:val="28"/>
          <w:szCs w:val="28"/>
        </w:rPr>
      </w:pPr>
    </w:p>
    <w:p>
      <w:pPr>
        <w:spacing w:before="312" w:beforeLines="100" w:line="360" w:lineRule="auto"/>
        <w:rPr>
          <w:rFonts w:ascii="Times New Roman" w:hAnsi="Times New Roman" w:eastAsia="仿宋_GB2312"/>
          <w:b/>
          <w:kern w:val="0"/>
          <w:sz w:val="28"/>
          <w:szCs w:val="28"/>
        </w:rPr>
      </w:pPr>
    </w:p>
    <w:p>
      <w:pPr>
        <w:spacing w:before="312" w:beforeLines="100" w:line="360" w:lineRule="auto"/>
        <w:rPr>
          <w:rFonts w:ascii="Times New Roman" w:hAnsi="Times New Roman" w:eastAsia="仿宋_GB2312"/>
          <w:b/>
          <w:kern w:val="0"/>
          <w:sz w:val="28"/>
          <w:szCs w:val="28"/>
        </w:rPr>
      </w:pPr>
    </w:p>
    <w:p>
      <w:pPr>
        <w:spacing w:before="312" w:beforeLines="100" w:line="360" w:lineRule="auto"/>
        <w:rPr>
          <w:rFonts w:ascii="Times New Roman" w:hAnsi="Times New Roman" w:eastAsia="仿宋_GB2312"/>
          <w:b/>
          <w:kern w:val="0"/>
          <w:sz w:val="28"/>
          <w:szCs w:val="28"/>
        </w:rPr>
      </w:pPr>
    </w:p>
    <w:p>
      <w:pPr>
        <w:spacing w:before="312" w:beforeLines="100" w:line="360" w:lineRule="auto"/>
        <w:rPr>
          <w:rFonts w:ascii="Times New Roman" w:hAnsi="Times New Roman" w:eastAsia="黑体"/>
          <w:kern w:val="32"/>
          <w:sz w:val="32"/>
          <w:szCs w:val="32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titlePg/>
          <w:docGrid w:type="lines" w:linePitch="312" w:charSpace="0"/>
        </w:sectPr>
      </w:pPr>
    </w:p>
    <w:p>
      <w:pPr>
        <w:spacing w:before="312" w:beforeLines="100" w:line="360" w:lineRule="auto"/>
        <w:rPr>
          <w:rFonts w:ascii="Times New Roman" w:hAnsi="Times New Roman" w:eastAsia="仿宋_GB2312"/>
          <w:b/>
          <w:kern w:val="0"/>
          <w:sz w:val="32"/>
          <w:szCs w:val="32"/>
        </w:rPr>
      </w:pPr>
      <w:r>
        <w:rPr>
          <w:rFonts w:ascii="Times New Roman" w:hAnsi="Times New Roman" w:eastAsia="黑体"/>
          <w:kern w:val="32"/>
          <w:sz w:val="32"/>
          <w:szCs w:val="32"/>
        </w:rPr>
        <w:t>一、项目基本信息</w:t>
      </w:r>
    </w:p>
    <w:tbl>
      <w:tblPr>
        <w:tblStyle w:val="5"/>
        <w:tblW w:w="8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014"/>
        <w:gridCol w:w="481"/>
        <w:gridCol w:w="455"/>
        <w:gridCol w:w="1488"/>
        <w:gridCol w:w="1567"/>
        <w:gridCol w:w="376"/>
        <w:gridCol w:w="2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22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申请</w:t>
            </w:r>
          </w:p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单位</w:t>
            </w:r>
          </w:p>
        </w:tc>
        <w:tc>
          <w:tcPr>
            <w:tcW w:w="7500" w:type="dxa"/>
            <w:gridSpan w:val="7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22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项目</w:t>
            </w:r>
          </w:p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名称</w:t>
            </w:r>
          </w:p>
        </w:tc>
        <w:tc>
          <w:tcPr>
            <w:tcW w:w="7500" w:type="dxa"/>
            <w:gridSpan w:val="7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22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场馆</w:t>
            </w:r>
          </w:p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类型</w:t>
            </w:r>
          </w:p>
        </w:tc>
        <w:tc>
          <w:tcPr>
            <w:tcW w:w="7500" w:type="dxa"/>
            <w:gridSpan w:val="7"/>
            <w:vAlign w:val="center"/>
          </w:tcPr>
          <w:p>
            <w:pPr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Cs/>
                <w:kern w:val="32"/>
                <w:sz w:val="32"/>
                <w:szCs w:val="32"/>
              </w:rPr>
              <w:t>A.</w:t>
            </w: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 xml:space="preserve">校史馆    </w:t>
            </w:r>
            <w:r>
              <w:rPr>
                <w:rFonts w:ascii="Times New Roman" w:hAnsi="Times New Roman" w:eastAsia="仿宋_GB2312"/>
                <w:bCs/>
                <w:kern w:val="32"/>
                <w:sz w:val="32"/>
                <w:szCs w:val="32"/>
              </w:rPr>
              <w:t xml:space="preserve"> B.</w:t>
            </w: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展览馆</w:t>
            </w:r>
          </w:p>
          <w:p>
            <w:pPr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Cs/>
                <w:kern w:val="32"/>
                <w:sz w:val="32"/>
                <w:szCs w:val="32"/>
              </w:rPr>
              <w:t>C.</w:t>
            </w: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 xml:space="preserve">博物馆    </w:t>
            </w:r>
            <w:r>
              <w:rPr>
                <w:rFonts w:ascii="Times New Roman" w:hAnsi="Times New Roman" w:eastAsia="仿宋_GB2312"/>
                <w:bCs/>
                <w:kern w:val="32"/>
                <w:sz w:val="32"/>
                <w:szCs w:val="32"/>
              </w:rPr>
              <w:t xml:space="preserve"> D.</w:t>
            </w: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 xml:space="preserve">图书馆   </w:t>
            </w:r>
            <w:r>
              <w:rPr>
                <w:rFonts w:ascii="Times New Roman" w:hAnsi="Times New Roman" w:eastAsia="仿宋_GB2312"/>
                <w:bCs/>
                <w:kern w:val="32"/>
                <w:sz w:val="32"/>
                <w:szCs w:val="32"/>
              </w:rPr>
              <w:t>E.</w:t>
            </w: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22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联系人</w:t>
            </w:r>
          </w:p>
        </w:tc>
        <w:tc>
          <w:tcPr>
            <w:tcW w:w="101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9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职务</w:t>
            </w:r>
          </w:p>
        </w:tc>
        <w:tc>
          <w:tcPr>
            <w:tcW w:w="148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6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联系</w:t>
            </w:r>
          </w:p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电话</w:t>
            </w:r>
          </w:p>
        </w:tc>
        <w:tc>
          <w:tcPr>
            <w:tcW w:w="24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22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通讯</w:t>
            </w:r>
          </w:p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地址</w:t>
            </w:r>
          </w:p>
        </w:tc>
        <w:tc>
          <w:tcPr>
            <w:tcW w:w="3438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6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电子</w:t>
            </w:r>
          </w:p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邮箱</w:t>
            </w:r>
          </w:p>
        </w:tc>
        <w:tc>
          <w:tcPr>
            <w:tcW w:w="249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22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团队负责人及骨干成员</w:t>
            </w:r>
          </w:p>
        </w:tc>
        <w:tc>
          <w:tcPr>
            <w:tcW w:w="14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姓名</w:t>
            </w:r>
          </w:p>
        </w:tc>
        <w:tc>
          <w:tcPr>
            <w:tcW w:w="19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单位</w:t>
            </w:r>
          </w:p>
        </w:tc>
        <w:tc>
          <w:tcPr>
            <w:tcW w:w="19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职称</w:t>
            </w:r>
          </w:p>
        </w:tc>
        <w:tc>
          <w:tcPr>
            <w:tcW w:w="21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研究专长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2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4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9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9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21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2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4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9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9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21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2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4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9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9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21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2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4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9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9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21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2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4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9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9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21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2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4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9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9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21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</w:tbl>
    <w:p>
      <w:pPr>
        <w:spacing w:before="312" w:beforeLines="100" w:line="420" w:lineRule="auto"/>
        <w:rPr>
          <w:rFonts w:ascii="Times New Roman" w:hAnsi="Times New Roman" w:eastAsia="黑体"/>
          <w:kern w:val="32"/>
          <w:sz w:val="32"/>
          <w:szCs w:val="32"/>
        </w:rPr>
      </w:pPr>
      <w:r>
        <w:rPr>
          <w:rFonts w:ascii="Times New Roman" w:hAnsi="Times New Roman" w:eastAsia="黑体"/>
          <w:kern w:val="32"/>
          <w:sz w:val="32"/>
          <w:szCs w:val="32"/>
        </w:rPr>
        <w:t>二、推荐意见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仿宋_GB2312" w:hAnsi="Times New Roman" w:eastAsia="仿宋_GB2312"/>
                <w:color w:val="000000"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sz w:val="32"/>
                <w:szCs w:val="32"/>
              </w:rPr>
              <w:t>项目介绍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8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="仿宋_GB2312" w:hAnsi="Times New Roman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sz w:val="32"/>
                <w:szCs w:val="32"/>
              </w:rPr>
              <w:t>（简要说明前期基础、建设预期和条件保障，不多于</w:t>
            </w:r>
            <w:r>
              <w:rPr>
                <w:rFonts w:ascii="Times New Roman" w:hAnsi="Times New Roman" w:eastAsia="仿宋_GB2312"/>
                <w:bCs/>
                <w:color w:val="000000"/>
                <w:sz w:val="32"/>
                <w:szCs w:val="32"/>
              </w:rPr>
              <w:t>200</w:t>
            </w:r>
            <w:r>
              <w:rPr>
                <w:rFonts w:hint="eastAsia" w:ascii="仿宋_GB2312" w:hAnsi="Times New Roman" w:eastAsia="仿宋_GB2312"/>
                <w:bCs/>
                <w:color w:val="000000"/>
                <w:sz w:val="32"/>
                <w:szCs w:val="32"/>
              </w:rPr>
              <w:t>字</w:t>
            </w:r>
            <w:r>
              <w:rPr>
                <w:rFonts w:hint="eastAsia" w:ascii="仿宋_GB2312" w:hAnsi="Times New Roman" w:eastAsia="仿宋_GB2312"/>
                <w:bCs/>
                <w:sz w:val="32"/>
                <w:szCs w:val="32"/>
              </w:rPr>
              <w:t>）</w:t>
            </w: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spacing w:line="360" w:lineRule="auto"/>
              <w:ind w:right="480"/>
              <w:jc w:val="lef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仿宋_GB2312" w:hAnsi="Times New Roman" w:eastAsia="仿宋_GB2312"/>
                <w:b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3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  <w:t>（</w:t>
            </w: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应明确说明是否同意推荐、是否同意落实保障措施）</w:t>
            </w:r>
          </w:p>
          <w:p>
            <w:pPr>
              <w:spacing w:line="360" w:lineRule="auto"/>
              <w:ind w:right="480"/>
              <w:jc w:val="lef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360" w:lineRule="auto"/>
              <w:ind w:right="480"/>
              <w:jc w:val="lef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360" w:lineRule="auto"/>
              <w:ind w:right="480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360" w:lineRule="auto"/>
              <w:ind w:right="1760"/>
              <w:jc w:val="lef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360" w:lineRule="auto"/>
              <w:ind w:right="800"/>
              <w:jc w:val="lef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360" w:lineRule="auto"/>
              <w:ind w:right="800"/>
              <w:jc w:val="righ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签字盖章：</w:t>
            </w:r>
          </w:p>
          <w:p>
            <w:pPr>
              <w:spacing w:line="360" w:lineRule="auto"/>
              <w:ind w:right="960"/>
              <w:jc w:val="righ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年  月  日</w:t>
            </w:r>
          </w:p>
          <w:p>
            <w:pPr>
              <w:spacing w:line="360" w:lineRule="auto"/>
              <w:rPr>
                <w:rFonts w:ascii="仿宋_GB2312" w:hAnsi="Times New Roman" w:eastAsia="仿宋_GB2312"/>
                <w:b/>
                <w:kern w:val="32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 w:eastAsia="方正小标宋简体"/>
          <w:sz w:val="48"/>
          <w:szCs w:val="48"/>
        </w:rPr>
        <w:t xml:space="preserve"> 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2024年度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（B表）</w:t>
      </w:r>
    </w:p>
    <w:p>
      <w:pPr>
        <w:spacing w:line="660" w:lineRule="exact"/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spacing w:line="660" w:lineRule="exact"/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tabs>
          <w:tab w:val="right" w:pos="7506"/>
        </w:tabs>
        <w:spacing w:after="156" w:line="600" w:lineRule="exact"/>
        <w:ind w:firstLine="800" w:firstLineChars="250"/>
        <w:jc w:val="left"/>
        <w:rPr>
          <w:rFonts w:ascii="Times New Roman" w:hAnsi="Times New Roman" w:eastAsia="楷体"/>
          <w:kern w:val="32"/>
          <w:sz w:val="32"/>
          <w:szCs w:val="32"/>
          <w:u w:val="single"/>
        </w:rPr>
      </w:pPr>
      <w:r>
        <w:rPr>
          <w:rFonts w:ascii="Times New Roman" w:hAnsi="Times New Roman" w:eastAsia="楷体"/>
          <w:kern w:val="32"/>
          <w:sz w:val="32"/>
          <w:szCs w:val="32"/>
        </w:rPr>
        <w:t>类    别</w:t>
      </w:r>
      <w:r>
        <w:rPr>
          <w:rFonts w:ascii="Times New Roman" w:hAnsi="Times New Roman" w:eastAsia="楷体"/>
          <w:kern w:val="32"/>
          <w:sz w:val="32"/>
          <w:szCs w:val="32"/>
          <w:u w:val="single"/>
        </w:rPr>
        <w:t xml:space="preserve">      高校场馆育人作用开发       </w:t>
      </w:r>
    </w:p>
    <w:p>
      <w:pPr>
        <w:spacing w:after="156" w:line="600" w:lineRule="exact"/>
        <w:jc w:val="left"/>
        <w:rPr>
          <w:rFonts w:ascii="Times New Roman" w:hAnsi="Times New Roman" w:eastAsia="楷体"/>
          <w:kern w:val="32"/>
          <w:sz w:val="32"/>
          <w:szCs w:val="32"/>
          <w:u w:val="single"/>
        </w:rPr>
      </w:pPr>
      <w:r>
        <w:rPr>
          <w:rFonts w:ascii="Times New Roman" w:hAnsi="Times New Roman" w:eastAsia="楷体"/>
          <w:kern w:val="32"/>
          <w:sz w:val="32"/>
          <w:szCs w:val="32"/>
        </w:rPr>
        <w:t xml:space="preserve">     名    称</w:t>
      </w:r>
      <w:r>
        <w:rPr>
          <w:rFonts w:ascii="Times New Roman" w:hAnsi="Times New Roman" w:eastAsia="楷体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/>
        <w:rPr>
          <w:rFonts w:ascii="Times New Roman" w:hAnsi="Times New Roman" w:eastAsia="楷体"/>
          <w:kern w:val="32"/>
          <w:sz w:val="32"/>
          <w:szCs w:val="32"/>
          <w:u w:val="single"/>
        </w:rPr>
      </w:pPr>
      <w:r>
        <w:rPr>
          <w:rFonts w:ascii="Times New Roman" w:hAnsi="Times New Roman" w:eastAsia="楷体"/>
          <w:kern w:val="32"/>
          <w:sz w:val="32"/>
          <w:szCs w:val="32"/>
        </w:rPr>
        <w:t xml:space="preserve">     填报日期</w:t>
      </w:r>
      <w:r>
        <w:rPr>
          <w:rFonts w:ascii="Times New Roman" w:hAnsi="Times New Roman" w:eastAsia="楷体"/>
          <w:kern w:val="32"/>
          <w:sz w:val="32"/>
          <w:szCs w:val="32"/>
          <w:u w:val="single"/>
        </w:rPr>
        <w:t xml:space="preserve">      　 年    月    日          </w:t>
      </w:r>
    </w:p>
    <w:p>
      <w:pPr>
        <w:spacing w:line="600" w:lineRule="exact"/>
        <w:rPr>
          <w:rFonts w:ascii="Times New Roman" w:hAnsi="Times New Roman" w:eastAsia="楷体"/>
          <w:kern w:val="32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楷体"/>
          <w:kern w:val="32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楷体"/>
          <w:kern w:val="32"/>
          <w:sz w:val="32"/>
          <w:szCs w:val="32"/>
        </w:rPr>
      </w:pPr>
    </w:p>
    <w:p>
      <w:pPr>
        <w:jc w:val="center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jc w:val="center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浙江省教育厅制</w:t>
      </w:r>
    </w:p>
    <w:p>
      <w:pPr>
        <w:spacing w:line="480" w:lineRule="auto"/>
        <w:jc w:val="center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2023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>9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月</w:t>
      </w:r>
    </w:p>
    <w:p>
      <w:pPr>
        <w:spacing w:line="360" w:lineRule="auto"/>
        <w:jc w:val="center"/>
        <w:rPr>
          <w:rFonts w:ascii="Times New Roman" w:hAnsi="Times New Roman"/>
          <w:b/>
          <w:bCs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pgNumType w:start="2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spacing w:line="360" w:lineRule="auto"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>
      <w:pPr>
        <w:spacing w:line="360" w:lineRule="auto"/>
        <w:jc w:val="center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ascii="黑体" w:hAnsi="黑体" w:eastAsia="黑体"/>
          <w:bCs/>
          <w:kern w:val="0"/>
          <w:sz w:val="32"/>
          <w:szCs w:val="32"/>
        </w:rPr>
        <w:t>填 表 说 明</w:t>
      </w:r>
    </w:p>
    <w:p>
      <w:pPr>
        <w:spacing w:line="360" w:lineRule="auto"/>
        <w:jc w:val="center"/>
        <w:rPr>
          <w:rFonts w:ascii="Times New Roman" w:hAnsi="Times New Roman"/>
          <w:kern w:val="32"/>
          <w:sz w:val="32"/>
          <w:szCs w:val="32"/>
        </w:rPr>
      </w:pP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三、《申报书》采用A4规格页面，左侧装订。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四、所填写内容可附页。如有支撑材料，请按表格的顺序装订好作为附件附后。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五、凡递交的《申报书》及支撑材料概不退还。</w:t>
      </w:r>
    </w:p>
    <w:p>
      <w:pPr>
        <w:snapToGrid w:val="0"/>
        <w:spacing w:line="360" w:lineRule="auto"/>
        <w:ind w:left="640" w:hanging="640" w:hangingChars="200"/>
        <w:rPr>
          <w:rFonts w:hint="default" w:ascii="Times New Roman" w:hAnsi="Times New Roman" w:cs="Times New Roman"/>
          <w:kern w:val="0"/>
          <w:sz w:val="32"/>
          <w:szCs w:val="32"/>
        </w:rPr>
      </w:pPr>
    </w:p>
    <w:p>
      <w:pPr>
        <w:snapToGrid w:val="0"/>
        <w:spacing w:line="360" w:lineRule="auto"/>
        <w:ind w:left="640" w:hanging="640" w:hangingChars="200"/>
        <w:rPr>
          <w:rFonts w:ascii="Times New Roman" w:hAnsi="Times New Roman"/>
          <w:kern w:val="0"/>
          <w:sz w:val="32"/>
          <w:szCs w:val="32"/>
        </w:rPr>
      </w:pPr>
    </w:p>
    <w:p>
      <w:pPr>
        <w:snapToGrid w:val="0"/>
        <w:spacing w:line="360" w:lineRule="auto"/>
        <w:ind w:left="640" w:hanging="640" w:hangingChars="200"/>
        <w:rPr>
          <w:rFonts w:ascii="Times New Roman" w:hAnsi="Times New Roman"/>
          <w:kern w:val="0"/>
          <w:sz w:val="32"/>
          <w:szCs w:val="32"/>
        </w:rPr>
      </w:pPr>
    </w:p>
    <w:p>
      <w:pPr>
        <w:snapToGrid w:val="0"/>
        <w:spacing w:line="360" w:lineRule="auto"/>
        <w:ind w:left="640" w:hanging="640" w:hangingChars="200"/>
        <w:rPr>
          <w:rFonts w:ascii="Times New Roman" w:hAnsi="Times New Roman"/>
          <w:kern w:val="0"/>
          <w:sz w:val="32"/>
          <w:szCs w:val="32"/>
        </w:rPr>
      </w:pPr>
    </w:p>
    <w:p>
      <w:pPr>
        <w:snapToGrid w:val="0"/>
        <w:spacing w:line="360" w:lineRule="auto"/>
        <w:ind w:left="640" w:hanging="640" w:hangingChars="200"/>
        <w:rPr>
          <w:rFonts w:ascii="Times New Roman" w:hAnsi="Times New Roman"/>
          <w:kern w:val="0"/>
          <w:sz w:val="32"/>
          <w:szCs w:val="32"/>
        </w:rPr>
      </w:pPr>
    </w:p>
    <w:p>
      <w:pPr>
        <w:snapToGrid w:val="0"/>
        <w:spacing w:line="360" w:lineRule="auto"/>
        <w:ind w:left="640" w:hanging="640" w:hangingChars="200"/>
        <w:rPr>
          <w:rFonts w:ascii="Times New Roman" w:hAnsi="Times New Roman"/>
          <w:kern w:val="0"/>
          <w:sz w:val="32"/>
          <w:szCs w:val="32"/>
        </w:rPr>
      </w:pPr>
    </w:p>
    <w:p>
      <w:pPr>
        <w:snapToGrid w:val="0"/>
        <w:spacing w:line="360" w:lineRule="auto"/>
        <w:ind w:left="640" w:hanging="640" w:hangingChars="200"/>
        <w:rPr>
          <w:rFonts w:ascii="Times New Roman" w:hAnsi="Times New Roman"/>
          <w:kern w:val="0"/>
          <w:sz w:val="32"/>
          <w:szCs w:val="32"/>
        </w:rPr>
      </w:pPr>
    </w:p>
    <w:p>
      <w:pPr>
        <w:snapToGrid w:val="0"/>
        <w:spacing w:line="360" w:lineRule="auto"/>
        <w:ind w:left="640" w:hanging="640" w:hangingChars="200"/>
        <w:rPr>
          <w:rFonts w:ascii="Times New Roman" w:hAnsi="Times New Roman"/>
          <w:kern w:val="0"/>
          <w:sz w:val="32"/>
          <w:szCs w:val="32"/>
        </w:rPr>
      </w:pPr>
    </w:p>
    <w:p>
      <w:pPr>
        <w:snapToGrid w:val="0"/>
        <w:spacing w:line="360" w:lineRule="auto"/>
        <w:ind w:left="640" w:hanging="640" w:hangingChars="200"/>
        <w:rPr>
          <w:rFonts w:ascii="Times New Roman" w:hAnsi="Times New Roman"/>
          <w:kern w:val="0"/>
          <w:sz w:val="32"/>
          <w:szCs w:val="32"/>
        </w:rPr>
      </w:pPr>
    </w:p>
    <w:p>
      <w:pPr>
        <w:spacing w:line="560" w:lineRule="exact"/>
        <w:rPr>
          <w:rFonts w:ascii="Times New Roman" w:hAnsi="Times New Roman"/>
          <w:b/>
          <w:sz w:val="28"/>
          <w:szCs w:val="28"/>
        </w:rPr>
        <w:sectPr>
          <w:footerReference r:id="rId7" w:type="default"/>
          <w:pgSz w:w="11906" w:h="16838"/>
          <w:pgMar w:top="1440" w:right="1800" w:bottom="1440" w:left="1800" w:header="851" w:footer="992" w:gutter="0"/>
          <w:pgNumType w:fmt="numberInDash" w:start="2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="1647" w:tblpY="655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1" w:hRule="atLeast"/>
        </w:trPr>
        <w:tc>
          <w:tcPr>
            <w:tcW w:w="8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56" w:beforeLines="50"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主要包括已具有的载体平台和体制机制，开展的育人活动和衍生课程，形成的突出成效--和广泛影响等内容。</w:t>
            </w: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一、前期基础（可附页）</w:t>
      </w:r>
    </w:p>
    <w:p>
      <w:pPr>
        <w:spacing w:line="560" w:lineRule="exact"/>
        <w:rPr>
          <w:rFonts w:ascii="黑体" w:hAnsi="黑体" w:eastAsia="黑体"/>
          <w:bCs/>
        </w:rPr>
      </w:pPr>
      <w:r>
        <w:rPr>
          <w:rFonts w:ascii="黑体" w:hAnsi="黑体" w:eastAsia="黑体"/>
          <w:bCs/>
          <w:sz w:val="32"/>
          <w:szCs w:val="32"/>
        </w:rPr>
        <w:t>二、建设预期（可附页）</w:t>
      </w:r>
    </w:p>
    <w:tbl>
      <w:tblPr>
        <w:tblStyle w:val="5"/>
        <w:tblW w:w="9007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主要包括在项目实施规划、育人载体拓展、育人实效提升、重点难点突破、成果转化推广等内容。</w:t>
            </w: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</w:tr>
    </w:tbl>
    <w:p>
      <w:pPr>
        <w:rPr>
          <w:rFonts w:ascii="黑体" w:hAnsi="黑体" w:eastAsia="黑体"/>
          <w:b/>
          <w:sz w:val="28"/>
          <w:szCs w:val="28"/>
        </w:rPr>
      </w:pPr>
      <w:r>
        <w:rPr>
          <w:rFonts w:ascii="Times New Roman" w:hAnsi="Times New Roman"/>
        </w:rPr>
        <w:br w:type="page"/>
      </w:r>
      <w:r>
        <w:rPr>
          <w:rFonts w:ascii="黑体" w:hAnsi="黑体" w:eastAsia="黑体"/>
          <w:bCs/>
          <w:sz w:val="32"/>
          <w:szCs w:val="32"/>
        </w:rPr>
        <w:t>三、条件保障（可附页）</w:t>
      </w:r>
    </w:p>
    <w:tbl>
      <w:tblPr>
        <w:tblStyle w:val="5"/>
        <w:tblW w:w="9007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1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主要包括申报高校在政策、经费、平台、人员等方面所提供的支持。</w:t>
            </w: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sectPr>
      <w:pgSz w:w="11906" w:h="16838"/>
      <w:pgMar w:top="1440" w:right="1800" w:bottom="1440" w:left="1800" w:header="851" w:footer="992" w:gutter="0"/>
      <w:pgNumType w:start="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FC4C1"/>
    <w:multiLevelType w:val="singleLevel"/>
    <w:tmpl w:val="162FC4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BD9"/>
    <w:rsid w:val="000530AE"/>
    <w:rsid w:val="000C1891"/>
    <w:rsid w:val="001847DC"/>
    <w:rsid w:val="00210096"/>
    <w:rsid w:val="00262540"/>
    <w:rsid w:val="00365390"/>
    <w:rsid w:val="004C6C13"/>
    <w:rsid w:val="005128B3"/>
    <w:rsid w:val="00535E64"/>
    <w:rsid w:val="00676ACE"/>
    <w:rsid w:val="006B43DE"/>
    <w:rsid w:val="006D533A"/>
    <w:rsid w:val="006F2BD9"/>
    <w:rsid w:val="00784F51"/>
    <w:rsid w:val="007B1E1D"/>
    <w:rsid w:val="00811B01"/>
    <w:rsid w:val="008C79D4"/>
    <w:rsid w:val="00972749"/>
    <w:rsid w:val="00A80DB8"/>
    <w:rsid w:val="00AB3499"/>
    <w:rsid w:val="00AB356E"/>
    <w:rsid w:val="00AC447D"/>
    <w:rsid w:val="00C6253A"/>
    <w:rsid w:val="00CD797A"/>
    <w:rsid w:val="00E3037C"/>
    <w:rsid w:val="00E65DEC"/>
    <w:rsid w:val="00EE6AD8"/>
    <w:rsid w:val="0F145C46"/>
    <w:rsid w:val="35491FFA"/>
    <w:rsid w:val="40D46C74"/>
    <w:rsid w:val="607F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268</Words>
  <Characters>1532</Characters>
  <Lines>12</Lines>
  <Paragraphs>3</Paragraphs>
  <ScaleCrop>false</ScaleCrop>
  <LinksUpToDate>false</LinksUpToDate>
  <CharactersWithSpaces>1797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2023-09-12T02:30:00Z</dcterms:created>
  <dc:creator>陆莹</dc:creator>
  <cp:lastModifiedBy>孙光明</cp:lastModifiedBy>
  <dcterms:modified xsi:type="dcterms:W3CDTF">2023-09-13T06:55:29Z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